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itle"/>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Heading4"/>
        <w:widowControl w:val="false"/>
        <w:ind w:left="0" w:hanging="0"/>
        <w:rPr/>
      </w:pPr>
      <w:r>
        <w:rPr/>
      </w:r>
    </w:p>
    <w:p>
      <w:pPr>
        <w:pStyle w:val="Normal"/>
        <w:rPr/>
      </w:pPr>
      <w:r>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no patamar de  9,9% do total de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a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C9211E"/>
          <w:sz w:val="24"/>
          <w:szCs w:val="24"/>
        </w:rPr>
        <w:t>Ou seja, c</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om o objetivo de verificar a existência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rFonts w:ascii="Times new Roman" w:hAnsi="Times new Roman"/>
        </w:rPr>
      </w:pPr>
      <w:r>
        <w:rPr>
          <w:rFonts w:ascii="Times new Roman" w:hAnsi="Times new Roman"/>
          <w:b w:val="false"/>
          <w:bCs w:val="false"/>
          <w:color w:val="000000"/>
          <w:sz w:val="24"/>
          <w:szCs w:val="24"/>
        </w:rPr>
        <w:t>Como Hegel (2001, p.45) coloca de forma um tanto quanto poética: “O historiador junta o curso fugaz dos acontecimentos e o deposita para a imortalidade de Mnemósina”. Esse nome excêntrico citado por Hegel, Mnemósina (</w:t>
      </w:r>
      <w:r>
        <w:rPr>
          <w:rFonts w:ascii="Times new Roman" w:hAnsi="Times new Roman"/>
          <w:b w:val="false"/>
          <w:bCs w:val="false"/>
          <w:i w:val="false"/>
          <w:caps w:val="false"/>
          <w:smallCaps w:val="false"/>
          <w:color w:val="000000"/>
          <w:spacing w:val="0"/>
          <w:sz w:val="21"/>
          <w:szCs w:val="24"/>
          <w:lang w:val="el-GR"/>
        </w:rPr>
        <w:t xml:space="preserve">Μνημοσύνη), </w:t>
      </w:r>
      <w:r>
        <w:rPr>
          <w:rFonts w:ascii="Times new Roman" w:hAnsi="Times new Roman"/>
          <w:b w:val="false"/>
          <w:bCs w:val="false"/>
          <w:color w:val="000000"/>
          <w:sz w:val="24"/>
          <w:szCs w:val="24"/>
        </w:rPr>
        <w:t xml:space="preserve">representa uma titânide da mitologia grega que personificava a memória. O historiador </w:t>
      </w:r>
      <w:r>
        <w:rPr>
          <w:rFonts w:eastAsia="Times New Roman" w:cs="Times New Roman" w:ascii="Times new Roman" w:hAnsi="Times new Roman"/>
          <w:b w:val="false"/>
          <w:bCs w:val="false"/>
          <w:color w:val="000000"/>
          <w:kern w:val="0"/>
          <w:sz w:val="24"/>
          <w:szCs w:val="24"/>
          <w:lang w:val="pt-BR" w:eastAsia="pt-BR" w:bidi="ar-SA"/>
        </w:rPr>
        <w:t>é</w:t>
      </w:r>
      <w:r>
        <w:rPr>
          <w:rFonts w:ascii="Times new Roman" w:hAnsi="Times new Roman"/>
          <w:b w:val="false"/>
          <w:bCs w:val="false"/>
          <w:color w:val="000000"/>
          <w:sz w:val="24"/>
          <w:szCs w:val="24"/>
        </w:rPr>
        <w:t xml:space="preserve">, </w:t>
      </w:r>
      <w:r>
        <w:rPr>
          <w:rFonts w:eastAsia="Times New Roman" w:cs="Times New Roman" w:ascii="Times new Roman" w:hAnsi="Times new Roman"/>
          <w:b w:val="false"/>
          <w:bCs w:val="false"/>
          <w:color w:val="000000"/>
          <w:kern w:val="0"/>
          <w:sz w:val="24"/>
          <w:szCs w:val="24"/>
          <w:lang w:val="pt-BR" w:eastAsia="pt-BR" w:bidi="ar-SA"/>
        </w:rPr>
        <w:t>assim</w:t>
      </w:r>
      <w:r>
        <w:rPr>
          <w:rFonts w:ascii="Times new Roman" w:hAnsi="Times new Roman"/>
          <w:b w:val="false"/>
          <w:bCs w:val="false"/>
          <w:color w:val="000000"/>
          <w:sz w:val="24"/>
          <w:szCs w:val="24"/>
        </w:rPr>
        <w:t xml:space="preserve">, o personagem que faz o translado dos acontecimentos para o registro historiográfico. </w:t>
      </w:r>
      <w:r>
        <w:rPr>
          <w:rFonts w:eastAsia="Times New Roman" w:cs="Times New Roman" w:ascii="Times new Roman" w:hAnsi="Times new Roman"/>
          <w:color w:val="auto"/>
          <w:kern w:val="0"/>
          <w:sz w:val="24"/>
          <w:szCs w:val="24"/>
          <w:lang w:val="pt-BR" w:eastAsia="pt-BR" w:bidi="ar-SA"/>
        </w:rPr>
        <w:t>Portanto</w:t>
      </w:r>
      <w:r>
        <w:rPr>
          <w:rFonts w:eastAsia="Times New Roman" w:cs="Times New Roman" w:ascii="Times new Roman" w:hAnsi="Times new Roman"/>
          <w:b w:val="false"/>
          <w:bCs w:val="false"/>
          <w:color w:val="000000"/>
          <w:kern w:val="0"/>
          <w:sz w:val="24"/>
          <w:szCs w:val="24"/>
          <w:lang w:val="pt-BR" w:eastAsia="pt-BR" w:bidi="ar-SA"/>
        </w:rPr>
        <w:t>, em qualquer</w:t>
      </w:r>
      <w:r>
        <w:rPr>
          <w:rFonts w:ascii="Times new Roman" w:hAnsi="Times new Roman"/>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FootnoteAnchor"/>
          <w:rFonts w:ascii="Times new Roman" w:hAnsi="Times new Roman"/>
          <w:b w:val="false"/>
          <w:bCs w:val="false"/>
          <w:color w:val="000000"/>
          <w:sz w:val="24"/>
          <w:szCs w:val="24"/>
        </w:rPr>
        <w:footnoteReference w:id="2"/>
      </w:r>
      <w:r>
        <w:rPr>
          <w:rFonts w:ascii="Times new Roman" w:hAnsi="Times new Roman"/>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rFonts w:ascii="Times new Roman" w:hAnsi="Times new Roman"/>
        </w:rPr>
      </w:pPr>
      <w:r>
        <w:rPr>
          <w:rFonts w:ascii="Times new Roman" w:hAnsi="Times new Roman"/>
          <w:b w:val="false"/>
          <w:bCs w:val="false"/>
          <w:color w:val="000000"/>
          <w:sz w:val="24"/>
          <w:szCs w:val="24"/>
        </w:rPr>
        <w:tab/>
      </w:r>
      <w:r>
        <w:rPr>
          <w:rFonts w:ascii="Times new Roman" w:hAnsi="Times new Roman"/>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FootnoteAnchor"/>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w:t>
      </w:r>
      <w:r>
        <w:rPr>
          <w:b w:val="false"/>
          <w:bCs w:val="false"/>
          <w:sz w:val="24"/>
          <w:szCs w:val="24"/>
        </w:rPr>
        <w:t>esta fora</w:t>
      </w:r>
      <w:r>
        <w:rPr>
          <w:b w:val="false"/>
          <w:bCs w:val="false"/>
          <w:sz w:val="24"/>
          <w:szCs w:val="24"/>
        </w:rPr>
        <w:t xml:space="preserv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FootnoteAnchor"/>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FootnoteAnchor"/>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FootnoteAnchor"/>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FootnoteAnchor"/>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FootnoteAnchor"/>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 xml:space="preserve">Assim como, observa-se na trajetória de escravos desembarcados entre 1800 a 1850, a predominância da região sudeste no total de desembarcados — </w:t>
      </w:r>
      <w:r>
        <w:rPr>
          <w:b w:val="false"/>
          <w:bCs w:val="false"/>
          <w:i w:val="false"/>
          <w:caps w:val="false"/>
          <w:smallCaps w:val="false"/>
          <w:strike w:val="false"/>
          <w:dstrike w:val="false"/>
          <w:color w:val="000000"/>
          <w:sz w:val="24"/>
          <w:szCs w:val="24"/>
          <w:highlight w:val="white"/>
          <w:u w:val="none"/>
          <w:effect w:val="none"/>
        </w:rPr>
        <w:t xml:space="preserve">diga-se de passagem, </w:t>
      </w:r>
      <w:r>
        <w:rPr>
          <w:b w:val="false"/>
          <w:bCs w:val="false"/>
          <w:i w:val="false"/>
          <w:caps w:val="false"/>
          <w:smallCaps w:val="false"/>
          <w:strike w:val="false"/>
          <w:dstrike w:val="false"/>
          <w:color w:val="000000"/>
          <w:sz w:val="24"/>
          <w:szCs w:val="24"/>
          <w:highlight w:val="white"/>
          <w:u w:val="none"/>
          <w:effect w:val="none"/>
        </w:rPr>
        <w:t>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FootnoteAnchor"/>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FootnoteAnchor"/>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FootnoteAnchor"/>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No curto prazo, o tráfico </w:t>
      </w:r>
      <w:r>
        <w:rPr>
          <w:b w:val="false"/>
          <w:i w:val="false"/>
          <w:caps w:val="false"/>
          <w:smallCaps w:val="false"/>
          <w:strike w:val="false"/>
          <w:dstrike w:val="false"/>
          <w:color w:val="000000"/>
          <w:position w:val="0"/>
          <w:sz w:val="24"/>
          <w:sz w:val="24"/>
          <w:szCs w:val="24"/>
          <w:highlight w:val="white"/>
          <w:u w:val="none"/>
          <w:effect w:val="none"/>
          <w:vertAlign w:val="baseline"/>
        </w:rPr>
        <w: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FootnoteAncho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FootnoteAnchor"/>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FootnoteAnchor"/>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FootnoteAnchor"/>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w:t>
      </w:r>
      <w:r>
        <w:rPr>
          <w:b w:val="false"/>
          <w:i w:val="false"/>
          <w:caps w:val="false"/>
          <w:smallCaps w:val="false"/>
          <w:strike w:val="false"/>
          <w:dstrike w:val="false"/>
          <w:color w:val="000000"/>
          <w:sz w:val="24"/>
          <w:highlight w:val="white"/>
          <w:u w:val="none"/>
          <w:effect w:val="none"/>
        </w:rPr>
        <w:t xml:space="preserve">de qualquer forma, </w:t>
      </w:r>
      <w:r>
        <w:rPr>
          <w:b w:val="false"/>
          <w:i w:val="false"/>
          <w:caps w:val="false"/>
          <w:smallCaps w:val="false"/>
          <w:strike w:val="false"/>
          <w:dstrike w:val="false"/>
          <w:color w:val="000000"/>
          <w:sz w:val="24"/>
          <w:highlight w:val="white"/>
          <w:u w:val="none"/>
          <w:effect w:val="none"/>
        </w:rPr>
        <w:t xml:space="preserve">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FootnoteAnchor"/>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FootnoteAncho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para o trabalho assalariado</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para o trabalho assalariado em n</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ível macroeconômico</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FootnoteAnchor"/>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000000"/>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FootnoteAnchor"/>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tecnológicas, crises abruptas etc</w:t>
      </w:r>
      <w:r>
        <w:rPr>
          <w:rStyle w:val="FootnoteAnchor"/>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FootnoteAnchor"/>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do fim da importação de mão de obra escrava com 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FootnoteAnchor"/>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FootnoteAncho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An</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álise exploratória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tru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Interpretando a tabela 3, pode-se concluir de forma sumarizada que até mesmo em 1% rejeita-se a hipótese nula do teste de Chow, ou seja, encontra-se evidência estatística de quebra estrutural. Em outras palavras: há quebra estrutural nas exportações de café com a implementação da Lei Eusébio de Queiroz. Na tabela 2 de forma menos sumarizada, pode-se observar os resultados para os modelos em cada subperíodo: (1) modelo completo; (2) período de 1821 a 1850; (3) período de 1851 a 1900.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em explicar as exportações de café apenas as exportações de açúcar do modelo (3). E retornando estatística F significante nos três períodos e R² ajustado médio e alto. </w:t>
      </w:r>
    </w:p>
    <w:p>
      <w:pPr>
        <w:pStyle w:val="Normal"/>
        <w:widowControl/>
        <w:suppressAutoHyphens w:val="true"/>
        <w:overflowPunct w:val="tru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850"/>
        <w:jc w:val="both"/>
        <w:rPr>
          <w:rFonts w:ascii="Times New Roman" w:hAnsi="Times New Roman"/>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Não obstante, como mencionando na secção 4.3, descrevendo os pressupostos do teste de Chow, o teste é válida estatisticamente se, e somente se, respeitar determinados pressupostos. Assim, na próxima secção busca-se aplicar diversos testes para validação dos resultados.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Em segundo, distribuição independente.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pP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 xml:space="preserve">Nota: Boutique de la rue Val-Longo, Debret, de 1835. </w:t>
      </w: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Na </w:t>
      </w:r>
      <w:hyperlink r:id="rId26">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cidade do Rio de Janeiro</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era na rua do Valongo que se encontrava o mercado de negros, verdadeiro entreposto onde eram guardados os escravos chegados da </w:t>
      </w:r>
      <w:hyperlink r:id="rId27">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África</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w:t>
      </w:r>
    </w:p>
    <w:p>
      <w:pPr>
        <w:pStyle w:val="Normal"/>
        <w:ind w:left="0" w:right="0" w:hanging="0"/>
        <w:jc w:val="both"/>
        <w:rPr>
          <w:rFonts w:ascii="Abyssinica SIL" w:hAnsi="Abyssinica SIL"/>
          <w:sz w:val="22"/>
          <w:szCs w:val="22"/>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1-B. Validação – modelo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1-C. Validação  – modelo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modelo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TextBody"/>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32">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3">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4"/>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s new Roman ">
    <w:charset w:val="01"/>
    <w:family w:val="roman"/>
    <w:pitch w:val="variable"/>
  </w:font>
  <w:font w:name="Times new Roman">
    <w:charset w:val="01"/>
    <w:family w:val="roman"/>
    <w:pitch w:val="variable"/>
  </w:font>
  <w:font w:name="arial">
    <w:altName w:val="sans-serif"/>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Entende-se “historiografia clássica” ou “historiadores tradicionalistas” como a parcela da historiografia que não utiliza métodos quantitativos em suas inferências e/ou reconstruções históricas. </w:t>
      </w:r>
    </w:p>
    <w:p>
      <w:pPr>
        <w:pStyle w:val="Footnote"/>
        <w:rPr/>
      </w:pPr>
      <w:r>
        <w:rPr/>
      </w:r>
    </w:p>
  </w:footnote>
  <w:footnote w:id="3">
    <w:p>
      <w:pPr>
        <w:pStyle w:val="Footnote"/>
        <w:jc w:val="both"/>
        <w:rPr/>
      </w:pPr>
      <w:r>
        <w:rPr>
          <w:rStyle w:val="FootnoteCharacters"/>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Footnote"/>
        <w:rPr/>
      </w:pPr>
      <w:r>
        <w:rPr/>
      </w:r>
    </w:p>
    <w:p>
      <w:pPr>
        <w:pStyle w:val="Footnote"/>
        <w:rPr/>
      </w:pPr>
      <w:r>
        <w:rPr/>
      </w:r>
    </w:p>
  </w:footnote>
  <w:footnote w:id="4">
    <w:p>
      <w:pPr>
        <w:pStyle w:val="Footnote"/>
        <w:rPr/>
      </w:pPr>
      <w:r>
        <w:rPr>
          <w:rStyle w:val="FootnoteCharacters"/>
        </w:rPr>
        <w:footnoteRef/>
      </w:r>
      <w:r>
        <w:rPr/>
        <w:tab/>
        <w:t xml:space="preserve">Ver Furtado (2007)· </w:t>
      </w:r>
    </w:p>
  </w:footnote>
  <w:footnote w:id="5">
    <w:p>
      <w:pPr>
        <w:pStyle w:val="Footnote"/>
        <w:jc w:val="both"/>
        <w:rPr/>
      </w:pPr>
      <w:r>
        <w:rPr>
          <w:rStyle w:val="FootnoteCharacters"/>
        </w:rPr>
        <w:footnoteRef/>
      </w:r>
      <w:r>
        <w:rPr/>
        <w:tab/>
        <w:t xml:space="preserve">De acordo com o The Trans-Atlantic Slave Trade Database. </w:t>
      </w:r>
    </w:p>
  </w:footnote>
  <w:footnote w:id="6">
    <w:p>
      <w:pPr>
        <w:pStyle w:val="Footnote"/>
        <w:rPr/>
      </w:pPr>
      <w:r>
        <w:rPr>
          <w:rStyle w:val="FootnoteCharacters"/>
        </w:rPr>
        <w:footnoteRef/>
      </w:r>
      <w:r>
        <w:rPr/>
        <w:tab/>
        <w:t xml:space="preserve">Ver, Klein (1987). </w:t>
      </w:r>
    </w:p>
  </w:footnote>
  <w:footnote w:id="7">
    <w:p>
      <w:pPr>
        <w:pStyle w:val="Footnote"/>
        <w:rPr/>
      </w:pPr>
      <w:r>
        <w:rPr>
          <w:rStyle w:val="FootnoteCharacters"/>
        </w:rPr>
        <w:footnoteRef/>
      </w:r>
      <w:r>
        <w:rPr/>
        <w:tab/>
        <w:t xml:space="preserve">Para uma discussão mais abrangente sobre os desdobramentos políticos e sociais até a abolição, ver Costa (2008). </w:t>
      </w:r>
    </w:p>
  </w:footnote>
  <w:footnote w:id="8">
    <w:p>
      <w:pPr>
        <w:pStyle w:val="Footnote"/>
        <w:jc w:val="both"/>
        <w:rPr/>
      </w:pPr>
      <w:r>
        <w:rPr>
          <w:rStyle w:val="FootnoteCharacters"/>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9">
    <w:p>
      <w:pPr>
        <w:pStyle w:val="Footnote"/>
        <w:jc w:val="both"/>
        <w:rPr/>
      </w:pPr>
      <w:r>
        <w:rPr>
          <w:rStyle w:val="FootnoteCharacters"/>
        </w:rPr>
        <w:footnoteRef/>
      </w:r>
      <w:r>
        <w:rPr/>
        <w:tab/>
        <w:t xml:space="preserve">Para mais detalhes sobre instituições extrativistas e inclusivas, ver Acemoglu &amp; Robinson (2012) e Acemoglu et. al (2001). </w:t>
      </w:r>
    </w:p>
    <w:p>
      <w:pPr>
        <w:pStyle w:val="Footnote"/>
        <w:jc w:val="both"/>
        <w:rPr/>
      </w:pPr>
      <w:r>
        <w:rPr/>
      </w:r>
    </w:p>
  </w:footnote>
  <w:footnote w:id="10">
    <w:p>
      <w:pPr>
        <w:pStyle w:val="Footnote"/>
        <w:jc w:val="both"/>
        <w:rPr/>
      </w:pPr>
      <w:r>
        <w:rPr>
          <w:rStyle w:val="FootnoteCharacters"/>
        </w:rPr>
        <w:footnoteRef/>
      </w:r>
      <w:r>
        <w:rPr/>
        <w:tab/>
        <w:t>Monasterio (2005), refere-se a produção de charque no Rio Grande do Sul. Aqui generaliza a ideia para toda utilização de mão de obra escrava no período em estudo.</w:t>
      </w:r>
    </w:p>
    <w:p>
      <w:pPr>
        <w:pStyle w:val="Footnote"/>
        <w:jc w:val="both"/>
        <w:rPr/>
      </w:pPr>
      <w:r>
        <w:rPr/>
      </w:r>
    </w:p>
  </w:footnote>
  <w:footnote w:id="11">
    <w:p>
      <w:pPr>
        <w:pStyle w:val="Footnote"/>
        <w:jc w:val="both"/>
        <w:rPr/>
      </w:pPr>
      <w:r>
        <w:rPr>
          <w:rStyle w:val="FootnoteCharacters"/>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Footnote"/>
        <w:ind w:left="0" w:right="0" w:hanging="0"/>
        <w:jc w:val="both"/>
        <w:rPr/>
      </w:pPr>
      <w:r>
        <w:rPr/>
      </w:r>
    </w:p>
  </w:footnote>
  <w:footnote w:id="12">
    <w:p>
      <w:pPr>
        <w:pStyle w:val="Footnote"/>
        <w:jc w:val="both"/>
        <w:rPr/>
      </w:pPr>
      <w:r>
        <w:rPr>
          <w:rStyle w:val="FootnoteCharacters"/>
        </w:rPr>
        <w:footnoteRef/>
      </w:r>
      <w:r>
        <w:rPr/>
        <w:tab/>
        <w:t xml:space="preserve">Sobre a importância da imigração para a construção histórica e social do Brasil, ver Monasterio &amp; Lopes (2018). </w:t>
      </w:r>
    </w:p>
  </w:footnote>
  <w:footnote w:id="13">
    <w:p>
      <w:pPr>
        <w:pStyle w:val="Footnote"/>
        <w:jc w:val="both"/>
        <w:rPr/>
      </w:pPr>
      <w:r>
        <w:rPr>
          <w:rStyle w:val="FootnoteCharacters"/>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Footnote"/>
        <w:rPr>
          <w:b w:val="false"/>
          <w:b w:val="false"/>
          <w:i w:val="false"/>
          <w:i w:val="false"/>
          <w:caps w:val="false"/>
          <w:smallCaps w:val="false"/>
          <w:strike w:val="false"/>
          <w:dstrike w:val="false"/>
          <w:color w:val="000000"/>
          <w:sz w:val="20"/>
          <w:szCs w:val="20"/>
          <w:highlight w:val="white"/>
          <w:u w:val="none"/>
          <w:effect w:val="none"/>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Footnote"/>
        <w:rPr/>
      </w:pPr>
      <w:r>
        <w:rPr/>
      </w:r>
    </w:p>
  </w:footnote>
  <w:footnote w:id="15">
    <w:p>
      <w:pPr>
        <w:pStyle w:val="Footnote"/>
        <w:jc w:val="both"/>
        <w:rPr/>
      </w:pPr>
      <w:r>
        <w:rPr>
          <w:rStyle w:val="FootnoteCharacters"/>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Footnote"/>
        <w:jc w:val="both"/>
        <w:rPr/>
      </w:pPr>
      <w:r>
        <w:rPr/>
      </w:r>
    </w:p>
  </w:footnote>
  <w:footnote w:id="16">
    <w:p>
      <w:pPr>
        <w:pStyle w:val="Footnote"/>
        <w:jc w:val="both"/>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Footnote"/>
        <w:jc w:val="both"/>
        <w:rPr/>
      </w:pPr>
      <w:r>
        <w:rPr/>
      </w:r>
    </w:p>
  </w:footnote>
  <w:footnote w:id="17">
    <w:p>
      <w:pPr>
        <w:pStyle w:val="Footnote"/>
        <w:rPr/>
      </w:pPr>
      <w:r>
        <w:rPr>
          <w:rStyle w:val="FootnoteCharacters"/>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Footnote"/>
        <w:jc w:val="both"/>
        <w:rPr>
          <w:color w:val="000000"/>
        </w:rPr>
      </w:pPr>
      <w:r>
        <w:rPr>
          <w:rStyle w:val="FootnoteCharacters"/>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Footnote"/>
        <w:jc w:val="both"/>
        <w:rPr/>
      </w:pPr>
      <w:r>
        <w:rPr/>
      </w:r>
    </w:p>
  </w:footnote>
  <w:footnote w:id="19">
    <w:p>
      <w:pPr>
        <w:pStyle w:val="Footnote"/>
        <w:jc w:val="both"/>
        <w:rPr/>
      </w:pPr>
      <w:r>
        <w:rPr>
          <w:rStyle w:val="FootnoteCharacters"/>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Footnote"/>
        <w:rPr/>
      </w:pPr>
      <w:r>
        <w:rPr>
          <w:rStyle w:val="FootnoteCharacters"/>
        </w:rPr>
        <w:footnoteRef/>
      </w:r>
      <w:r>
        <w:rPr/>
        <w:tab/>
        <w:t xml:space="preserve">Sobre outlier e pontos de alavancagem, ver Bruce &amp; Bruce (2019).  A mediana é uma estratégia empírica adotada para evitar uma posição central puxada por outliers. </w:t>
      </w:r>
    </w:p>
  </w:footnote>
  <w:footnote w:id="21">
    <w:p>
      <w:pPr>
        <w:pStyle w:val="Footnote"/>
        <w:ind w:left="339" w:right="0" w:hanging="0"/>
        <w:rPr/>
      </w:pPr>
      <w:r>
        <w:rPr>
          <w:rStyle w:val="FootnoteCharacters"/>
        </w:rPr>
        <w:footnoteRef/>
      </w:r>
      <w:r>
        <w:rPr/>
        <w:t xml:space="preserve">    </w:t>
      </w:r>
      <w:r>
        <w:rPr/>
        <w:t xml:space="preserve">Ver, Costa (2016). </w:t>
      </w:r>
    </w:p>
  </w:footnote>
  <w:footnote w:id="22">
    <w:p>
      <w:pPr>
        <w:pStyle w:val="Footnote"/>
        <w:rPr/>
      </w:pPr>
      <w:r>
        <w:rPr>
          <w:rStyle w:val="FootnoteCharacters"/>
        </w:rPr>
        <w:footnoteRef/>
      </w:r>
      <w:r>
        <w:rPr/>
        <w:tab/>
        <w:t xml:space="preserve">Observe que os testes convencionais de quebra estruturais apresentados no presente trabalho não buscam inferir as causas das quebras. </w:t>
      </w:r>
    </w:p>
  </w:footnote>
  <w:footnote w:id="23">
    <w:p>
      <w:pPr>
        <w:pStyle w:val="Footnote"/>
        <w:rPr>
          <w:sz w:val="20"/>
          <w:szCs w:val="20"/>
        </w:rPr>
      </w:pPr>
      <w:r>
        <w:rPr>
          <w:rStyle w:val="FootnoteCharacters"/>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Footnote"/>
        <w:rPr/>
      </w:pPr>
      <w:r>
        <w:rPr>
          <w:rStyle w:val="FootnoteCharacters"/>
        </w:rPr>
        <w:footnoteRef/>
      </w:r>
      <w:r>
        <w:rPr/>
        <w:tab/>
        <w:t xml:space="preserve">Sobre o modelo log-log, ver Gujarati &amp; Porter (2010, p. 176-179). </w:t>
      </w:r>
    </w:p>
  </w:footnote>
  <w:footnote w:id="25">
    <w:p>
      <w:pPr>
        <w:pStyle w:val="Footnote"/>
        <w:rPr/>
      </w:pPr>
      <w:r>
        <w:rPr>
          <w:rStyle w:val="FootnoteCharacters"/>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Times new Roman " w:hAnsi="Times new Roman "/>
        <w:b/>
        <w:bCs/>
      </w:rPr>
      <w:t>UNIVERSIDADE ESTADUAL DE GOIÁS CÂMPUS ANÁPOLIS DE CIÊNCIAS SOCIOECONÔMICAS E HUMANAS NELSON DE ABREU JUNIOR</w:t>
    </w:r>
  </w:p>
  <w:p>
    <w:pPr>
      <w:pStyle w:val="Heading1"/>
      <w:ind w:left="0" w:right="0" w:hanging="0"/>
      <w:rPr>
        <w:rFonts w:ascii="Times new Roman " w:hAnsi="Times new Roman "/>
      </w:rPr>
    </w:pPr>
    <w:r>
      <w:rPr>
        <w:rFonts w:ascii="Times new Roman " w:hAnsi="Times new Roman "/>
        <w:bCs/>
        <w:sz w:val="24"/>
      </w:rPr>
      <w:t>CURSO DE CIÊNCIAS ECONÔMICAS</w:t>
    </w:r>
  </w:p>
  <w:p>
    <w:pPr>
      <w:pStyle w:val="Title"/>
      <w:tabs>
        <w:tab w:val="clear" w:pos="720"/>
        <w:tab w:val="center" w:pos="4107" w:leader="none"/>
        <w:tab w:val="left" w:pos="7460" w:leader="none"/>
      </w:tabs>
      <w:rPr>
        <w:rFonts w:ascii="Times new Roman " w:hAnsi="Times new Roman "/>
        <w:b/>
        <w:b/>
        <w:sz w:val="22"/>
      </w:rPr>
    </w:pPr>
    <w:r>
      <w:rPr>
        <w:rFonts w:ascii="Times new Roman " w:hAnsi="Times new Roman "/>
        <w:b/>
        <w:sz w:val="22"/>
      </w:rPr>
    </w:r>
  </w:p>
  <w:p>
    <w:pPr>
      <w:pStyle w:val="Heading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itle"/>
      <w:tabs>
        <w:tab w:val="clear" w:pos="720"/>
        <w:tab w:val="center" w:pos="4107" w:leader="none"/>
        <w:tab w:val="left" w:pos="7460" w:leader="none"/>
      </w:tabs>
      <w:rPr>
        <w:b/>
        <w:b/>
        <w:sz w:val="22"/>
      </w:rPr>
    </w:pPr>
    <w:r>
      <w:rPr>
        <w:b/>
        <w:sz w:val="22"/>
      </w:rPr>
    </w:r>
  </w:p>
  <w:p>
    <w:pPr>
      <w:pStyle w:val="Title"/>
      <w:tabs>
        <w:tab w:val="clear" w:pos="720"/>
        <w:tab w:val="center" w:pos="4107" w:leader="none"/>
        <w:tab w:val="left" w:pos="7460" w:leader="none"/>
      </w:tabs>
      <w:rPr>
        <w:b/>
        <w:b/>
        <w:sz w:val="22"/>
      </w:rPr>
    </w:pPr>
    <w:r>
      <w:rPr>
        <w:b/>
        <w:sz w:val="22"/>
      </w:rPr>
    </w:r>
  </w:p>
  <w:p>
    <w:pPr>
      <w:pStyle w:val="Header"/>
      <w:rPr>
        <w:b/>
        <w:b/>
      </w:rPr>
    </w:pPr>
    <w:r>
      <w:rPr>
        <w:b/>
      </w:rPr>
    </w:r>
  </w:p>
  <w:p>
    <w:pPr>
      <w:pStyle w:val="Header"/>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qFormat/>
    <w:pPr>
      <w:keepNext w:val="true"/>
      <w:jc w:val="center"/>
      <w:outlineLvl w:val="0"/>
    </w:pPr>
    <w:rPr>
      <w:b/>
      <w:sz w:val="28"/>
      <w:szCs w:val="20"/>
    </w:rPr>
  </w:style>
  <w:style w:type="paragraph" w:styleId="Heading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Heading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qForma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qForma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qFormat/>
    <w:rPr>
      <w:vertAlign w:val="superscript"/>
    </w:rPr>
  </w:style>
  <w:style w:type="character" w:styleId="Ncoradanotadefim">
    <w:name w:val="Âncora da nota de fim"/>
    <w:qFormat/>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next w:val="TextBody"/>
    <w:qFormat/>
    <w:pPr>
      <w:keepNext w:val="true"/>
      <w:spacing w:before="240" w:after="120"/>
    </w:pPr>
    <w:rPr>
      <w:rFonts w:ascii="Liberation Sans" w:hAnsi="Liberation Sans" w:eastAsia="Noto Sans CJK SC" w:cs="Lohit Devanagari"/>
      <w:sz w:val="28"/>
      <w:szCs w:val="28"/>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HeaderandFooter">
    <w:name w:val="Header and Footer"/>
    <w:basedOn w:val="Normal"/>
    <w:qFormat/>
    <w:pPr/>
    <w:rPr/>
  </w:style>
  <w:style w:type="paragraph" w:styleId="Header">
    <w:name w:val="Header"/>
    <w:basedOn w:val="Normal"/>
    <w:pPr>
      <w:tabs>
        <w:tab w:val="clear" w:pos="720"/>
        <w:tab w:val="center" w:pos="4419" w:leader="none"/>
        <w:tab w:val="right" w:pos="8838" w:leader="none"/>
      </w:tabs>
    </w:pPr>
    <w:rPr>
      <w:sz w:val="20"/>
      <w:szCs w:val="20"/>
    </w:rPr>
  </w:style>
  <w:style w:type="paragraph" w:styleId="Title">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itle">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Footer">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Footnote">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artsandculture.google.com/entity/m06gmr" TargetMode="External"/><Relationship Id="rId27" Type="http://schemas.openxmlformats.org/officeDocument/2006/relationships/hyperlink" Target="https://artsandculture.google.com/entity/m0dg3n1"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yperlink" Target="https://goo.gl/M2YGtV" TargetMode="External"/><Relationship Id="rId33" Type="http://schemas.openxmlformats.org/officeDocument/2006/relationships/hyperlink" Target="https://repositorio.ufjf.br/jspui/handle/ufjf/3276" TargetMode="External"/><Relationship Id="rId34" Type="http://schemas.openxmlformats.org/officeDocument/2006/relationships/header" Target="header3.xml"/><Relationship Id="rId35" Type="http://schemas.openxmlformats.org/officeDocument/2006/relationships/footnotes" Target="footnotes.xml"/><Relationship Id="rId36" Type="http://schemas.openxmlformats.org/officeDocument/2006/relationships/fontTable" Target="fontTable.xml"/><Relationship Id="rId37"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4707</TotalTime>
  <Application>LibreOffice/7.3.7.2$Linux_X86_64 LibreOffice_project/30$Build-2</Application>
  <AppVersion>15.0000</AppVersion>
  <Pages>43</Pages>
  <Words>7380</Words>
  <Characters>40121</Characters>
  <CharactersWithSpaces>47855</CharactersWithSpaces>
  <Paragraphs>219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2023-04-24T00:08:01Z</dcterms:modified>
  <cp:revision>165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